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BFF4A" w14:textId="77777777" w:rsidR="00301BA1" w:rsidRPr="00301BA1" w:rsidRDefault="00301BA1" w:rsidP="00301BA1">
      <w:pPr>
        <w:autoSpaceDE w:val="0"/>
        <w:autoSpaceDN w:val="0"/>
        <w:adjustRightInd w:val="0"/>
        <w:spacing w:after="0" w:line="240" w:lineRule="auto"/>
        <w:rPr>
          <w:rFonts w:cs="Gill Sans MT"/>
          <w:color w:val="000000"/>
          <w:sz w:val="24"/>
          <w:szCs w:val="24"/>
        </w:rPr>
      </w:pPr>
      <w:bookmarkStart w:id="0" w:name="_GoBack"/>
      <w:bookmarkEnd w:id="0"/>
      <w:r w:rsidRPr="00301BA1">
        <w:rPr>
          <w:rFonts w:cs="Gill Sans MT"/>
          <w:b/>
          <w:bCs/>
          <w:color w:val="000000"/>
          <w:sz w:val="24"/>
          <w:szCs w:val="24"/>
        </w:rPr>
        <w:t xml:space="preserve">Intervisie – Incidentmethode </w:t>
      </w:r>
    </w:p>
    <w:p w14:paraId="377BFF4B" w14:textId="77777777" w:rsidR="00301BA1" w:rsidRPr="00301BA1" w:rsidRDefault="00301BA1" w:rsidP="00301BA1">
      <w:pPr>
        <w:autoSpaceDE w:val="0"/>
        <w:autoSpaceDN w:val="0"/>
        <w:adjustRightInd w:val="0"/>
        <w:spacing w:after="0" w:line="240" w:lineRule="auto"/>
        <w:ind w:left="360"/>
        <w:rPr>
          <w:rFonts w:cs="Gill Sans MT"/>
          <w:b/>
          <w:color w:val="000000"/>
          <w:sz w:val="24"/>
          <w:szCs w:val="24"/>
        </w:rPr>
      </w:pPr>
    </w:p>
    <w:p w14:paraId="377BFF4C"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Inventariseren vraagstukken </w:t>
      </w:r>
    </w:p>
    <w:p w14:paraId="377BFF4D"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4E"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Op flap, daarna kiezen </w:t>
      </w:r>
    </w:p>
    <w:p w14:paraId="377BFF4F"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50"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Benoemen vraagstuk </w:t>
      </w:r>
    </w:p>
    <w:p w14:paraId="377BFF51"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52"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De inbrenger licht het vraagstuk kort toe. Een vraagstuk is van jezelf, werk gerelateerd, speelt in het nu of de nabije toekomst en begint met “ik”, gevolgd door een werkwoord (ik heb er last van dat…, ik wil graag…, ik weet niet…, etc.) </w:t>
      </w:r>
    </w:p>
    <w:p w14:paraId="377BFF53"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Hierna nemen de intervisiedeelnemers een paar minuten om na te denken over vragen die zij over het vraagstuk aan de inbrenger willen stellen. </w:t>
      </w:r>
    </w:p>
    <w:p w14:paraId="377BFF54"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p>
    <w:p w14:paraId="377BFF55"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Rondjes vragen </w:t>
      </w:r>
    </w:p>
    <w:p w14:paraId="377BFF56"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57"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De vragen zijn open, waardoor de inbrenger wat vertelt en niet kan volstaan met “ja” of “nee”. Open vragen beginnen veelal met </w:t>
      </w:r>
      <w:r w:rsidRPr="00301BA1">
        <w:rPr>
          <w:rFonts w:cs="Gill Sans MT"/>
          <w:i/>
          <w:iCs/>
          <w:color w:val="000000"/>
          <w:sz w:val="24"/>
          <w:szCs w:val="24"/>
        </w:rPr>
        <w:t>wie, wat</w:t>
      </w:r>
      <w:r>
        <w:rPr>
          <w:rFonts w:cs="Gill Sans MT"/>
          <w:i/>
          <w:iCs/>
          <w:color w:val="000000"/>
          <w:sz w:val="24"/>
          <w:szCs w:val="24"/>
        </w:rPr>
        <w:t>, hoe, welke, wanneer, waarom.</w:t>
      </w:r>
    </w:p>
    <w:p w14:paraId="377BFF58"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De vragen zijn ook waarde- en adviesvrij. Let erop dat in je vraag geen oordeel zit, en ook niet alvast een verkapt advies. </w:t>
      </w:r>
    </w:p>
    <w:p w14:paraId="377BFF59"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Iedereen stelt om de beurt een vraag. De inbrenger geeft meteen antwoord, daarna stelt de volgende deelnemer een vraag. Heb je een vervolgvraag, dan moet je wachten tot je weer aan de beurt bent. Heb je geen vraag meer, dan pas je. Komt er geen nieuwe informatie meer op tafel, dan stoppen de vragenrondes. </w:t>
      </w:r>
    </w:p>
    <w:p w14:paraId="377BFF5A" w14:textId="77777777" w:rsidR="00301BA1" w:rsidRPr="00301BA1" w:rsidRDefault="00301BA1" w:rsidP="00301BA1">
      <w:pPr>
        <w:autoSpaceDE w:val="0"/>
        <w:autoSpaceDN w:val="0"/>
        <w:adjustRightInd w:val="0"/>
        <w:spacing w:after="0" w:line="240" w:lineRule="auto"/>
        <w:ind w:left="360"/>
        <w:rPr>
          <w:rFonts w:cs="Gill Sans MT"/>
          <w:b/>
          <w:color w:val="000000"/>
          <w:sz w:val="24"/>
          <w:szCs w:val="24"/>
        </w:rPr>
      </w:pPr>
    </w:p>
    <w:p w14:paraId="377BFF5B"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Rondje roddelen </w:t>
      </w:r>
    </w:p>
    <w:p w14:paraId="377BFF5C"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5D"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De inbrenger gaat met zijn rug naar het gezelschap zitten. De overige deelnemers praten over wat hun in de vragenrondjes is opgevallen. Welke patronen en rode draden tekenen zich af? Welke vragen vond de inbrenger moeilijk, waar bleef het even stil? Wat hoorde je tussen de woorden door? Welke impliciete boodschappen bleven onbesproken? Wat viel je op aan de lichaam</w:t>
      </w:r>
      <w:r>
        <w:rPr>
          <w:rFonts w:cs="Gill Sans MT"/>
          <w:color w:val="000000"/>
          <w:sz w:val="24"/>
          <w:szCs w:val="24"/>
        </w:rPr>
        <w:t>staal van de inbrenger? Etc</w:t>
      </w:r>
      <w:r w:rsidRPr="00301BA1">
        <w:rPr>
          <w:rFonts w:cs="Gill Sans MT"/>
          <w:color w:val="000000"/>
          <w:sz w:val="24"/>
          <w:szCs w:val="24"/>
        </w:rPr>
        <w:t xml:space="preserve">. </w:t>
      </w:r>
    </w:p>
    <w:p w14:paraId="377BFF5E" w14:textId="77777777" w:rsid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Als men is “</w:t>
      </w:r>
      <w:proofErr w:type="spellStart"/>
      <w:r w:rsidRPr="00301BA1">
        <w:rPr>
          <w:rFonts w:cs="Gill Sans MT"/>
          <w:color w:val="000000"/>
          <w:sz w:val="24"/>
          <w:szCs w:val="24"/>
        </w:rPr>
        <w:t>uitgeroddeld</w:t>
      </w:r>
      <w:proofErr w:type="spellEnd"/>
      <w:r w:rsidRPr="00301BA1">
        <w:rPr>
          <w:rFonts w:cs="Gill Sans MT"/>
          <w:color w:val="000000"/>
          <w:sz w:val="24"/>
          <w:szCs w:val="24"/>
        </w:rPr>
        <w:t xml:space="preserve">” draait de inbrenger zijn stoel weer om. Uiteraard heeft hij de gelegenheid voor een korte reflectie op wat hij heeft gehoord. </w:t>
      </w:r>
    </w:p>
    <w:p w14:paraId="377BFF5F"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 </w:t>
      </w:r>
    </w:p>
    <w:p w14:paraId="377BFF60"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Eventueel herbenoemen van het vraagstuk </w:t>
      </w:r>
    </w:p>
    <w:p w14:paraId="377BFF61" w14:textId="77777777" w:rsidR="00301BA1" w:rsidRPr="00301BA1" w:rsidRDefault="00301BA1" w:rsidP="00301BA1">
      <w:pPr>
        <w:autoSpaceDE w:val="0"/>
        <w:autoSpaceDN w:val="0"/>
        <w:adjustRightInd w:val="0"/>
        <w:spacing w:after="0" w:line="240" w:lineRule="auto"/>
        <w:rPr>
          <w:rFonts w:cs="Gill Sans MT"/>
          <w:b/>
          <w:color w:val="000000"/>
          <w:sz w:val="24"/>
          <w:szCs w:val="24"/>
        </w:rPr>
      </w:pPr>
    </w:p>
    <w:p w14:paraId="377BFF62" w14:textId="77777777" w:rsid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Soms ziet de inbrenger door de vragenrondjes, zijn antwoorden en het roddelen aanleiding zijn vraagstuk te herdefiniëren: het zit toch anders dan hij aanvankelijk dacht. Dan volgt stap 6. Is er geen aanleiding het vraagstuk te herbenoemen, dan door naar stap 7. </w:t>
      </w:r>
    </w:p>
    <w:p w14:paraId="377BFF63"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p>
    <w:p w14:paraId="377BFF64"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Nieuwe rondjes met vragen </w:t>
      </w:r>
    </w:p>
    <w:p w14:paraId="377BFF65" w14:textId="77777777" w:rsidR="00301BA1" w:rsidRPr="00301BA1" w:rsidRDefault="00301BA1" w:rsidP="00301BA1">
      <w:pPr>
        <w:autoSpaceDE w:val="0"/>
        <w:autoSpaceDN w:val="0"/>
        <w:adjustRightInd w:val="0"/>
        <w:spacing w:after="0" w:line="240" w:lineRule="auto"/>
        <w:rPr>
          <w:rFonts w:cs="Gill Sans MT"/>
          <w:b/>
          <w:color w:val="000000"/>
          <w:sz w:val="24"/>
          <w:szCs w:val="24"/>
        </w:rPr>
      </w:pPr>
    </w:p>
    <w:p w14:paraId="377BFF66"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Als de inbrenger zijn vraag herbenoemd heeft kan dat aanleiding zijn voor de andere deelnemers om daar nog wat vragen over te stellen. Daarbij gelden dezelfde spelregels als in stap 3. </w:t>
      </w:r>
    </w:p>
    <w:p w14:paraId="377BFF67" w14:textId="77777777" w:rsidR="00301BA1" w:rsidRPr="00301BA1" w:rsidRDefault="00301BA1" w:rsidP="00301BA1">
      <w:pPr>
        <w:autoSpaceDE w:val="0"/>
        <w:autoSpaceDN w:val="0"/>
        <w:adjustRightInd w:val="0"/>
        <w:spacing w:after="0" w:line="240" w:lineRule="auto"/>
        <w:rPr>
          <w:rFonts w:cs="Gill Sans MT"/>
          <w:b/>
          <w:color w:val="000000"/>
          <w:sz w:val="24"/>
          <w:szCs w:val="24"/>
        </w:rPr>
      </w:pPr>
    </w:p>
    <w:p w14:paraId="377BFF68"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Aanreiken van adviezen </w:t>
      </w:r>
    </w:p>
    <w:p w14:paraId="377BFF69"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6A"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Nadat de deelnemers-adviseurs daar een paar minuten over hebben nagedacht geven zij om de beurt hun advies/adviezen aan de inbrenger. Dat begint met “Als ik in jouw schoenen stond, dan…”. Onderlinge discussie over de adviezen is niet relevant en daarom ook buiten de orde. </w:t>
      </w:r>
    </w:p>
    <w:p w14:paraId="377BFF6B"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6C"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Reactie inbrenger </w:t>
      </w:r>
    </w:p>
    <w:p w14:paraId="377BFF6D" w14:textId="77777777" w:rsidR="00301BA1" w:rsidRPr="00301BA1" w:rsidRDefault="00301BA1" w:rsidP="00301BA1">
      <w:pPr>
        <w:autoSpaceDE w:val="0"/>
        <w:autoSpaceDN w:val="0"/>
        <w:adjustRightInd w:val="0"/>
        <w:spacing w:after="0" w:line="240" w:lineRule="auto"/>
        <w:rPr>
          <w:rFonts w:cs="Gill Sans MT"/>
          <w:color w:val="000000"/>
          <w:sz w:val="24"/>
          <w:szCs w:val="24"/>
        </w:rPr>
      </w:pPr>
    </w:p>
    <w:p w14:paraId="377BFF6E"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r w:rsidRPr="00301BA1">
        <w:rPr>
          <w:rFonts w:cs="Gill Sans MT"/>
          <w:color w:val="000000"/>
          <w:sz w:val="24"/>
          <w:szCs w:val="24"/>
        </w:rPr>
        <w:t xml:space="preserve">De inbrenger geeft een korte reflectie op de adviezen. Wat ga je morgen meteen toepassen, waar moet je nog even over nadenken? </w:t>
      </w:r>
    </w:p>
    <w:p w14:paraId="377BFF6F" w14:textId="77777777" w:rsidR="00301BA1" w:rsidRPr="00301BA1" w:rsidRDefault="00301BA1" w:rsidP="00301BA1">
      <w:pPr>
        <w:autoSpaceDE w:val="0"/>
        <w:autoSpaceDN w:val="0"/>
        <w:adjustRightInd w:val="0"/>
        <w:spacing w:after="0" w:line="240" w:lineRule="auto"/>
        <w:ind w:left="360"/>
        <w:rPr>
          <w:rFonts w:cs="Gill Sans MT"/>
          <w:color w:val="000000"/>
          <w:sz w:val="24"/>
          <w:szCs w:val="24"/>
        </w:rPr>
      </w:pPr>
    </w:p>
    <w:p w14:paraId="377BFF70" w14:textId="77777777" w:rsidR="00301BA1" w:rsidRPr="00301BA1" w:rsidRDefault="00301BA1" w:rsidP="00301BA1">
      <w:pPr>
        <w:pStyle w:val="Lijstalinea"/>
        <w:numPr>
          <w:ilvl w:val="0"/>
          <w:numId w:val="11"/>
        </w:numPr>
        <w:autoSpaceDE w:val="0"/>
        <w:autoSpaceDN w:val="0"/>
        <w:adjustRightInd w:val="0"/>
        <w:spacing w:after="0" w:line="240" w:lineRule="auto"/>
        <w:rPr>
          <w:rFonts w:cs="Gill Sans MT"/>
          <w:b/>
          <w:color w:val="000000"/>
          <w:sz w:val="24"/>
          <w:szCs w:val="24"/>
        </w:rPr>
      </w:pPr>
      <w:r w:rsidRPr="00301BA1">
        <w:rPr>
          <w:rFonts w:cs="Gill Sans MT"/>
          <w:b/>
          <w:color w:val="000000"/>
          <w:sz w:val="24"/>
          <w:szCs w:val="24"/>
        </w:rPr>
        <w:t xml:space="preserve">Afsluiting </w:t>
      </w:r>
    </w:p>
    <w:p w14:paraId="377BFF71" w14:textId="77777777" w:rsidR="00301BA1" w:rsidRPr="00301BA1" w:rsidRDefault="00301BA1" w:rsidP="00301BA1">
      <w:pPr>
        <w:autoSpaceDE w:val="0"/>
        <w:autoSpaceDN w:val="0"/>
        <w:adjustRightInd w:val="0"/>
        <w:spacing w:after="0" w:line="240" w:lineRule="auto"/>
        <w:rPr>
          <w:rFonts w:cs="Gill Sans MT"/>
          <w:b/>
          <w:color w:val="000000"/>
          <w:sz w:val="24"/>
          <w:szCs w:val="24"/>
        </w:rPr>
      </w:pPr>
    </w:p>
    <w:p w14:paraId="377BFF72" w14:textId="77777777" w:rsidR="00740D02" w:rsidRPr="00301BA1" w:rsidRDefault="00301BA1" w:rsidP="00301BA1">
      <w:pPr>
        <w:ind w:left="360"/>
        <w:rPr>
          <w:sz w:val="24"/>
          <w:szCs w:val="24"/>
        </w:rPr>
      </w:pPr>
      <w:r w:rsidRPr="00301BA1">
        <w:rPr>
          <w:rFonts w:cs="Gill Sans MT"/>
          <w:color w:val="000000"/>
          <w:sz w:val="24"/>
          <w:szCs w:val="24"/>
        </w:rPr>
        <w:t>Tot slot blik je met elkaar kort terug: hoe ging de intervisie technisch gezien? Wat nemen de adviseurs uit de behandeling van de casus mee voor hun eigen werk?</w:t>
      </w:r>
    </w:p>
    <w:sectPr w:rsidR="00740D02" w:rsidRPr="00301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AFFC9A"/>
    <w:multiLevelType w:val="hybridMultilevel"/>
    <w:tmpl w:val="2EDAD5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8DFCE6"/>
    <w:multiLevelType w:val="hybridMultilevel"/>
    <w:tmpl w:val="7F7E44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2C96C0"/>
    <w:multiLevelType w:val="hybridMultilevel"/>
    <w:tmpl w:val="97F8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CB588"/>
    <w:multiLevelType w:val="hybridMultilevel"/>
    <w:tmpl w:val="47B5D9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E57494"/>
    <w:multiLevelType w:val="hybridMultilevel"/>
    <w:tmpl w:val="F6F84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31233"/>
    <w:multiLevelType w:val="hybridMultilevel"/>
    <w:tmpl w:val="7293B0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D61C5B"/>
    <w:multiLevelType w:val="hybridMultilevel"/>
    <w:tmpl w:val="E838A5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1E3284"/>
    <w:multiLevelType w:val="hybridMultilevel"/>
    <w:tmpl w:val="14BA7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B4414C"/>
    <w:multiLevelType w:val="hybridMultilevel"/>
    <w:tmpl w:val="A144DC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F63F5C"/>
    <w:multiLevelType w:val="hybridMultilevel"/>
    <w:tmpl w:val="6656F2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F25FAED"/>
    <w:multiLevelType w:val="hybridMultilevel"/>
    <w:tmpl w:val="E9B8E9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9"/>
  </w:num>
  <w:num w:numId="3">
    <w:abstractNumId w:val="8"/>
  </w:num>
  <w:num w:numId="4">
    <w:abstractNumId w:val="2"/>
  </w:num>
  <w:num w:numId="5">
    <w:abstractNumId w:val="1"/>
  </w:num>
  <w:num w:numId="6">
    <w:abstractNumId w:val="3"/>
  </w:num>
  <w:num w:numId="7">
    <w:abstractNumId w:val="0"/>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A1"/>
    <w:rsid w:val="00301BA1"/>
    <w:rsid w:val="00735258"/>
    <w:rsid w:val="00E24707"/>
    <w:rsid w:val="00EA5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FF4A"/>
  <w15:chartTrackingRefBased/>
  <w15:docId w15:val="{C7906E7B-6DE0-4AB7-9047-65C659DD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2</cp:revision>
  <dcterms:created xsi:type="dcterms:W3CDTF">2021-03-25T14:15:00Z</dcterms:created>
  <dcterms:modified xsi:type="dcterms:W3CDTF">2021-03-25T14:15:00Z</dcterms:modified>
</cp:coreProperties>
</file>