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95175" w14:textId="77777777" w:rsidR="00C714BF" w:rsidRPr="00747F3D" w:rsidRDefault="00C714BF" w:rsidP="00C714BF">
      <w:pPr>
        <w:pStyle w:val="Kop1"/>
        <w:spacing w:after="100" w:afterAutospacing="1" w:line="312" w:lineRule="auto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color w:val="00B29C"/>
        </w:rPr>
        <w:t>Formatieve toetsing</w:t>
      </w:r>
    </w:p>
    <w:p w14:paraId="6726ECA3" w14:textId="0183B58F" w:rsidR="00C714BF" w:rsidRPr="00C714BF" w:rsidRDefault="00C714BF" w:rsidP="00C714BF">
      <w:pPr>
        <w:spacing w:after="100" w:afterAutospacing="1" w:line="312" w:lineRule="auto"/>
        <w:rPr>
          <w:rFonts w:ascii="Verdana" w:hAnsi="Verdana"/>
          <w:b/>
          <w:spacing w:val="2"/>
          <w:szCs w:val="20"/>
        </w:rPr>
      </w:pPr>
      <w:r w:rsidRPr="00E72177">
        <w:rPr>
          <w:rFonts w:ascii="Verdana" w:hAnsi="Verdana"/>
          <w:b/>
          <w:spacing w:val="2"/>
          <w:szCs w:val="20"/>
        </w:rPr>
        <w:t xml:space="preserve">TOETSMATRIJS </w:t>
      </w:r>
      <w:r w:rsidR="005443FA">
        <w:rPr>
          <w:rFonts w:ascii="Verdana" w:hAnsi="Verdana"/>
          <w:b/>
          <w:spacing w:val="2"/>
          <w:szCs w:val="20"/>
        </w:rPr>
        <w:t>Gezond en Veilig Werken</w:t>
      </w:r>
      <w:r w:rsidRPr="00724253">
        <w:rPr>
          <w:rFonts w:ascii="Verdana" w:hAnsi="Verdana"/>
          <w:b/>
          <w:spacing w:val="2"/>
          <w:szCs w:val="20"/>
        </w:rPr>
        <w:t xml:space="preserve"> </w:t>
      </w:r>
      <w:r>
        <w:rPr>
          <w:rFonts w:ascii="Verdana" w:hAnsi="Verdana"/>
          <w:b/>
          <w:spacing w:val="2"/>
          <w:szCs w:val="20"/>
        </w:rPr>
        <w:br/>
      </w:r>
      <w:r>
        <w:rPr>
          <w:rFonts w:ascii="Verdana" w:hAnsi="Verdana"/>
          <w:spacing w:val="2"/>
          <w:sz w:val="18"/>
        </w:rPr>
        <w:t>Cohort 201</w:t>
      </w:r>
      <w:r w:rsidR="00B57B6B">
        <w:rPr>
          <w:rFonts w:ascii="Verdana" w:hAnsi="Verdana"/>
          <w:spacing w:val="2"/>
          <w:sz w:val="18"/>
        </w:rPr>
        <w:t>9 – 2020</w:t>
      </w:r>
      <w:r w:rsidRPr="000861CB">
        <w:rPr>
          <w:rFonts w:ascii="Verdana" w:hAnsi="Verdana"/>
          <w:spacing w:val="2"/>
          <w:sz w:val="20"/>
        </w:rPr>
        <w:tab/>
      </w:r>
    </w:p>
    <w:p w14:paraId="5B512213" w14:textId="50E1FDAC" w:rsidR="00C714BF" w:rsidRPr="00E13FD4" w:rsidRDefault="00C714BF" w:rsidP="00C714BF">
      <w:pPr>
        <w:spacing w:line="312" w:lineRule="auto"/>
        <w:rPr>
          <w:rFonts w:ascii="Verdana" w:hAnsi="Verdana" w:cstheme="minorHAnsi"/>
          <w:spacing w:val="6"/>
          <w:sz w:val="18"/>
          <w:szCs w:val="18"/>
          <w:lang w:eastAsia="nl-NL"/>
        </w:rPr>
      </w:pPr>
      <w:r w:rsidRPr="00E13FD4">
        <w:rPr>
          <w:rFonts w:ascii="Verdana" w:hAnsi="Verdana" w:cstheme="minorHAnsi"/>
          <w:spacing w:val="6"/>
          <w:sz w:val="18"/>
          <w:szCs w:val="18"/>
          <w:lang w:eastAsia="nl-NL"/>
        </w:rPr>
        <w:t xml:space="preserve">Een </w:t>
      </w:r>
      <w:proofErr w:type="spellStart"/>
      <w:r w:rsidRPr="00E13FD4">
        <w:rPr>
          <w:rFonts w:ascii="Verdana" w:hAnsi="Verdana" w:cstheme="minorHAnsi"/>
          <w:spacing w:val="6"/>
          <w:sz w:val="18"/>
          <w:szCs w:val="18"/>
          <w:lang w:eastAsia="nl-NL"/>
        </w:rPr>
        <w:t>toetsmatrijs</w:t>
      </w:r>
      <w:proofErr w:type="spellEnd"/>
      <w:r w:rsidRPr="00E13FD4">
        <w:rPr>
          <w:rFonts w:ascii="Verdana" w:hAnsi="Verdana" w:cstheme="minorHAnsi"/>
          <w:spacing w:val="6"/>
          <w:sz w:val="18"/>
          <w:szCs w:val="18"/>
          <w:lang w:eastAsia="nl-NL"/>
        </w:rPr>
        <w:t xml:space="preserve"> is het overzicht van de onderwerpen waarover vragen gesteld worden en hoeveel vragen dat per onderwerp zijn.</w:t>
      </w:r>
    </w:p>
    <w:p w14:paraId="52950C37" w14:textId="77777777" w:rsidR="00C714BF" w:rsidRPr="00E13FD4" w:rsidRDefault="00C714BF" w:rsidP="00C714BF">
      <w:pPr>
        <w:spacing w:line="312" w:lineRule="auto"/>
        <w:rPr>
          <w:rFonts w:ascii="Verdana" w:hAnsi="Verdana" w:cstheme="minorHAnsi"/>
          <w:spacing w:val="6"/>
          <w:sz w:val="18"/>
          <w:szCs w:val="18"/>
          <w:u w:val="single"/>
          <w:lang w:eastAsia="nl-NL"/>
        </w:rPr>
      </w:pPr>
      <w:r w:rsidRPr="00E13FD4">
        <w:rPr>
          <w:rFonts w:ascii="Verdana" w:hAnsi="Verdana" w:cstheme="minorHAnsi"/>
          <w:spacing w:val="6"/>
          <w:sz w:val="18"/>
          <w:szCs w:val="18"/>
          <w:u w:val="single"/>
          <w:lang w:eastAsia="nl-NL"/>
        </w:rPr>
        <w:t>Leermiddelen:</w:t>
      </w:r>
    </w:p>
    <w:p w14:paraId="6B18EED1" w14:textId="3204EE54" w:rsidR="00C714BF" w:rsidRPr="00E13FD4" w:rsidRDefault="00681349" w:rsidP="00C714BF">
      <w:pPr>
        <w:pStyle w:val="Lijstalinea"/>
        <w:numPr>
          <w:ilvl w:val="0"/>
          <w:numId w:val="1"/>
        </w:numPr>
        <w:spacing w:after="0" w:line="312" w:lineRule="auto"/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</w:pPr>
      <w:r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  <w:t xml:space="preserve">Zie It’s </w:t>
      </w:r>
      <w:proofErr w:type="spellStart"/>
      <w:r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  <w:t>learning</w:t>
      </w:r>
      <w:proofErr w:type="spellEnd"/>
      <w:r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  <w:t xml:space="preserve"> voor de leermiddelen die bij jouw opleiding horen.</w:t>
      </w:r>
    </w:p>
    <w:p w14:paraId="368EB9E5" w14:textId="77777777" w:rsidR="00C714BF" w:rsidRPr="00E13FD4" w:rsidRDefault="00C714BF" w:rsidP="00C714BF">
      <w:pPr>
        <w:spacing w:line="312" w:lineRule="auto"/>
        <w:rPr>
          <w:rFonts w:ascii="Verdana" w:hAnsi="Verdana" w:cstheme="minorHAnsi"/>
          <w:spacing w:val="6"/>
          <w:sz w:val="18"/>
          <w:szCs w:val="18"/>
          <w:u w:val="single"/>
          <w:lang w:eastAsia="nl-NL"/>
        </w:rPr>
      </w:pPr>
      <w:r w:rsidRPr="00E13FD4">
        <w:rPr>
          <w:rFonts w:ascii="Verdana" w:hAnsi="Verdana" w:cstheme="minorHAnsi"/>
          <w:spacing w:val="6"/>
          <w:sz w:val="18"/>
          <w:szCs w:val="18"/>
          <w:u w:val="single"/>
          <w:lang w:eastAsia="nl-NL"/>
        </w:rPr>
        <w:t>Beoordeling:</w:t>
      </w:r>
    </w:p>
    <w:p w14:paraId="1C7E444F" w14:textId="25069CDA" w:rsidR="00C714BF" w:rsidRPr="005443FA" w:rsidRDefault="005443FA" w:rsidP="00C714BF">
      <w:pPr>
        <w:pStyle w:val="Lijstalinea"/>
        <w:numPr>
          <w:ilvl w:val="0"/>
          <w:numId w:val="1"/>
        </w:numPr>
        <w:spacing w:after="0" w:line="312" w:lineRule="auto"/>
        <w:rPr>
          <w:rFonts w:ascii="Verdana" w:eastAsia="Times New Roman" w:hAnsi="Verdana" w:cstheme="minorHAnsi"/>
          <w:color w:val="FF0000"/>
          <w:spacing w:val="6"/>
          <w:sz w:val="18"/>
          <w:szCs w:val="18"/>
          <w:lang w:eastAsia="nl-NL"/>
        </w:rPr>
      </w:pPr>
      <w:r w:rsidRPr="005443FA">
        <w:rPr>
          <w:rFonts w:ascii="Verdana" w:eastAsia="Times New Roman" w:hAnsi="Verdana" w:cstheme="minorHAnsi"/>
          <w:color w:val="FF0000"/>
          <w:spacing w:val="6"/>
          <w:sz w:val="18"/>
          <w:szCs w:val="18"/>
          <w:lang w:eastAsia="nl-NL"/>
        </w:rPr>
        <w:t>De toets bestaat uit 34</w:t>
      </w:r>
      <w:r w:rsidR="0085566D" w:rsidRPr="005443FA">
        <w:rPr>
          <w:rFonts w:ascii="Verdana" w:eastAsia="Times New Roman" w:hAnsi="Verdana" w:cstheme="minorHAnsi"/>
          <w:color w:val="FF0000"/>
          <w:spacing w:val="6"/>
          <w:sz w:val="18"/>
          <w:szCs w:val="18"/>
          <w:lang w:eastAsia="nl-NL"/>
        </w:rPr>
        <w:t xml:space="preserve"> </w:t>
      </w:r>
      <w:r w:rsidRPr="005443FA">
        <w:rPr>
          <w:rFonts w:ascii="Verdana" w:eastAsia="Times New Roman" w:hAnsi="Verdana" w:cstheme="minorHAnsi"/>
          <w:color w:val="FF0000"/>
          <w:spacing w:val="6"/>
          <w:sz w:val="18"/>
          <w:szCs w:val="18"/>
          <w:lang w:eastAsia="nl-NL"/>
        </w:rPr>
        <w:t>vragen. Je kunt 34</w:t>
      </w:r>
      <w:r w:rsidR="00C714BF" w:rsidRPr="005443FA">
        <w:rPr>
          <w:rFonts w:ascii="Verdana" w:eastAsia="Times New Roman" w:hAnsi="Verdana" w:cstheme="minorHAnsi"/>
          <w:color w:val="FF0000"/>
          <w:spacing w:val="6"/>
          <w:sz w:val="18"/>
          <w:szCs w:val="18"/>
          <w:lang w:eastAsia="nl-NL"/>
        </w:rPr>
        <w:t xml:space="preserve"> punten scoren.</w:t>
      </w:r>
    </w:p>
    <w:p w14:paraId="0EC6FF7B" w14:textId="7A26F3A2" w:rsidR="0085566D" w:rsidRPr="005443FA" w:rsidRDefault="0085566D" w:rsidP="00C714BF">
      <w:pPr>
        <w:pStyle w:val="Lijstalinea"/>
        <w:numPr>
          <w:ilvl w:val="0"/>
          <w:numId w:val="1"/>
        </w:numPr>
        <w:spacing w:after="0" w:line="312" w:lineRule="auto"/>
        <w:rPr>
          <w:rFonts w:ascii="Verdana" w:eastAsia="Times New Roman" w:hAnsi="Verdana" w:cstheme="minorHAnsi"/>
          <w:color w:val="FF0000"/>
          <w:spacing w:val="6"/>
          <w:sz w:val="18"/>
          <w:szCs w:val="18"/>
          <w:lang w:eastAsia="nl-NL"/>
        </w:rPr>
      </w:pPr>
      <w:r w:rsidRPr="005443FA">
        <w:rPr>
          <w:rFonts w:ascii="Verdana" w:eastAsia="Times New Roman" w:hAnsi="Verdana" w:cstheme="minorHAnsi"/>
          <w:color w:val="FF0000"/>
          <w:spacing w:val="6"/>
          <w:sz w:val="18"/>
          <w:szCs w:val="18"/>
          <w:lang w:eastAsia="nl-NL"/>
        </w:rPr>
        <w:t>De grens voor een goed is 80%, dus 32 punten</w:t>
      </w:r>
    </w:p>
    <w:p w14:paraId="330F546E" w14:textId="7E22A79D" w:rsidR="00C714BF" w:rsidRPr="005443FA" w:rsidRDefault="00C714BF" w:rsidP="00C714BF">
      <w:pPr>
        <w:pStyle w:val="Lijstalinea"/>
        <w:numPr>
          <w:ilvl w:val="0"/>
          <w:numId w:val="1"/>
        </w:numPr>
        <w:spacing w:after="0" w:line="312" w:lineRule="auto"/>
        <w:rPr>
          <w:rFonts w:ascii="Verdana" w:eastAsia="Times New Roman" w:hAnsi="Verdana" w:cstheme="minorHAnsi"/>
          <w:color w:val="FF0000"/>
          <w:spacing w:val="6"/>
          <w:sz w:val="18"/>
          <w:szCs w:val="18"/>
          <w:lang w:eastAsia="nl-NL"/>
        </w:rPr>
      </w:pPr>
      <w:r w:rsidRPr="005443FA">
        <w:rPr>
          <w:rFonts w:ascii="Verdana" w:eastAsia="Times New Roman" w:hAnsi="Verdana" w:cstheme="minorHAnsi"/>
          <w:color w:val="FF0000"/>
          <w:spacing w:val="6"/>
          <w:sz w:val="18"/>
          <w:szCs w:val="18"/>
          <w:lang w:eastAsia="nl-NL"/>
        </w:rPr>
        <w:t>De grens v</w:t>
      </w:r>
      <w:r w:rsidR="00B57B6B" w:rsidRPr="005443FA">
        <w:rPr>
          <w:rFonts w:ascii="Verdana" w:eastAsia="Times New Roman" w:hAnsi="Verdana" w:cstheme="minorHAnsi"/>
          <w:color w:val="FF0000"/>
          <w:spacing w:val="6"/>
          <w:sz w:val="18"/>
          <w:szCs w:val="18"/>
          <w:lang w:eastAsia="nl-NL"/>
        </w:rPr>
        <w:t>oor een voldoende is 60%, dus 25</w:t>
      </w:r>
      <w:r w:rsidRPr="005443FA">
        <w:rPr>
          <w:rFonts w:ascii="Verdana" w:eastAsia="Times New Roman" w:hAnsi="Verdana" w:cstheme="minorHAnsi"/>
          <w:color w:val="FF0000"/>
          <w:spacing w:val="6"/>
          <w:sz w:val="18"/>
          <w:szCs w:val="18"/>
          <w:lang w:eastAsia="nl-NL"/>
        </w:rPr>
        <w:t xml:space="preserve"> punten</w:t>
      </w:r>
    </w:p>
    <w:p w14:paraId="6E26CF9B" w14:textId="0FEF45C5" w:rsidR="00C714BF" w:rsidRPr="005443FA" w:rsidRDefault="0085566D" w:rsidP="00C714BF">
      <w:pPr>
        <w:pStyle w:val="Lijstalinea"/>
        <w:numPr>
          <w:ilvl w:val="0"/>
          <w:numId w:val="1"/>
        </w:numPr>
        <w:spacing w:after="0" w:line="312" w:lineRule="auto"/>
        <w:rPr>
          <w:rFonts w:ascii="Verdana" w:hAnsi="Verdana" w:cstheme="minorHAnsi"/>
          <w:i/>
          <w:color w:val="FF0000"/>
          <w:spacing w:val="6"/>
          <w:sz w:val="16"/>
          <w:szCs w:val="18"/>
          <w:lang w:eastAsia="nl-NL"/>
        </w:rPr>
      </w:pPr>
      <w:r w:rsidRPr="005443FA">
        <w:rPr>
          <w:rFonts w:ascii="Verdana" w:eastAsia="Times New Roman" w:hAnsi="Verdana" w:cstheme="minorHAnsi"/>
          <w:color w:val="FF0000"/>
          <w:spacing w:val="6"/>
          <w:sz w:val="18"/>
          <w:szCs w:val="18"/>
          <w:lang w:eastAsia="nl-NL"/>
        </w:rPr>
        <w:t>E</w:t>
      </w:r>
      <w:r w:rsidR="00C714BF" w:rsidRPr="005443FA">
        <w:rPr>
          <w:rFonts w:ascii="Verdana" w:eastAsia="Times New Roman" w:hAnsi="Verdana" w:cstheme="minorHAnsi"/>
          <w:color w:val="FF0000"/>
          <w:spacing w:val="6"/>
          <w:sz w:val="18"/>
          <w:szCs w:val="18"/>
          <w:lang w:eastAsia="nl-NL"/>
        </w:rPr>
        <w:t xml:space="preserve">en </w:t>
      </w:r>
      <w:r w:rsidRPr="005443FA">
        <w:rPr>
          <w:rFonts w:ascii="Verdana" w:eastAsia="Times New Roman" w:hAnsi="Verdana" w:cstheme="minorHAnsi"/>
          <w:color w:val="FF0000"/>
          <w:spacing w:val="6"/>
          <w:sz w:val="18"/>
          <w:szCs w:val="18"/>
          <w:lang w:eastAsia="nl-NL"/>
        </w:rPr>
        <w:t>onvoldoende</w:t>
      </w:r>
      <w:r w:rsidR="00C714BF" w:rsidRPr="005443FA">
        <w:rPr>
          <w:rFonts w:ascii="Verdana" w:eastAsia="Times New Roman" w:hAnsi="Verdana" w:cstheme="minorHAnsi"/>
          <w:color w:val="FF0000"/>
          <w:spacing w:val="6"/>
          <w:sz w:val="18"/>
          <w:szCs w:val="18"/>
          <w:lang w:eastAsia="nl-NL"/>
        </w:rPr>
        <w:t xml:space="preserve"> is </w:t>
      </w:r>
      <w:r w:rsidRPr="005443FA">
        <w:rPr>
          <w:rFonts w:ascii="Verdana" w:eastAsia="Times New Roman" w:hAnsi="Verdana" w:cstheme="minorHAnsi"/>
          <w:color w:val="FF0000"/>
          <w:spacing w:val="6"/>
          <w:sz w:val="18"/>
          <w:szCs w:val="18"/>
          <w:lang w:eastAsia="nl-NL"/>
        </w:rPr>
        <w:t xml:space="preserve">minder dan 25 </w:t>
      </w:r>
      <w:r w:rsidR="00C714BF" w:rsidRPr="005443FA">
        <w:rPr>
          <w:rFonts w:ascii="Verdana" w:eastAsia="Times New Roman" w:hAnsi="Verdana" w:cstheme="minorHAnsi"/>
          <w:color w:val="FF0000"/>
          <w:spacing w:val="6"/>
          <w:sz w:val="18"/>
          <w:szCs w:val="18"/>
          <w:lang w:eastAsia="nl-NL"/>
        </w:rPr>
        <w:t xml:space="preserve">punten </w:t>
      </w:r>
    </w:p>
    <w:p w14:paraId="61F770BB" w14:textId="51248AA5" w:rsidR="00C714BF" w:rsidRPr="001A253F" w:rsidRDefault="00C714BF" w:rsidP="00C714BF">
      <w:pPr>
        <w:spacing w:line="312" w:lineRule="auto"/>
        <w:rPr>
          <w:rFonts w:asciiTheme="minorHAnsi" w:hAnsiTheme="minorHAnsi" w:cstheme="minorHAnsi"/>
          <w:spacing w:val="6"/>
          <w:lang w:eastAsia="nl-NL"/>
        </w:rPr>
      </w:pPr>
      <w:r w:rsidRPr="001A253F">
        <w:rPr>
          <w:rFonts w:asciiTheme="minorHAnsi" w:hAnsiTheme="minorHAnsi" w:cstheme="minorHAnsi"/>
          <w:b/>
          <w:spacing w:val="6"/>
          <w:lang w:eastAsia="nl-NL"/>
        </w:rPr>
        <w:t>Let op!</w:t>
      </w:r>
      <w:r>
        <w:rPr>
          <w:rFonts w:asciiTheme="minorHAnsi" w:hAnsiTheme="minorHAnsi" w:cstheme="minorHAnsi"/>
          <w:b/>
          <w:spacing w:val="6"/>
          <w:lang w:eastAsia="nl-NL"/>
        </w:rPr>
        <w:t xml:space="preserve"> </w:t>
      </w:r>
      <w:r w:rsidRPr="00E0734D">
        <w:rPr>
          <w:rFonts w:asciiTheme="minorHAnsi" w:hAnsiTheme="minorHAnsi" w:cstheme="minorHAnsi"/>
          <w:b/>
          <w:spacing w:val="6"/>
          <w:lang w:eastAsia="nl-NL"/>
        </w:rPr>
        <w:t xml:space="preserve">Het resultaat van de toets </w:t>
      </w:r>
      <w:r w:rsidR="005443FA">
        <w:rPr>
          <w:rFonts w:asciiTheme="minorHAnsi" w:hAnsiTheme="minorHAnsi" w:cstheme="minorHAnsi"/>
          <w:b/>
          <w:spacing w:val="6"/>
          <w:lang w:eastAsia="nl-NL"/>
        </w:rPr>
        <w:t xml:space="preserve">van poging 1, 2 en 3 gebeurd voor het eind van lesweek 9. Mocht je dit niet hebben gedaan, dan dient je  kans gemaakt te worden tijdens een centraal (inschrijf) herkansingsmoment. </w:t>
      </w:r>
      <w:r w:rsidRPr="00E0734D">
        <w:rPr>
          <w:rFonts w:asciiTheme="minorHAnsi" w:hAnsiTheme="minorHAnsi" w:cstheme="minorHAnsi"/>
          <w:b/>
          <w:spacing w:val="6"/>
          <w:lang w:eastAsia="nl-NL"/>
        </w:rPr>
        <w:t xml:space="preserve"> </w:t>
      </w:r>
    </w:p>
    <w:tbl>
      <w:tblPr>
        <w:tblW w:w="9214" w:type="dxa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134"/>
      </w:tblGrid>
      <w:tr w:rsidR="00C714BF" w:rsidRPr="00773A74" w14:paraId="5EE803CF" w14:textId="77777777" w:rsidTr="005443FA">
        <w:trPr>
          <w:trHeight w:val="375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6CACA6D9" w14:textId="6A1CEABF" w:rsidR="00C714BF" w:rsidRPr="005443FA" w:rsidRDefault="005443FA" w:rsidP="006D0A62">
            <w:pPr>
              <w:spacing w:line="312" w:lineRule="auto"/>
              <w:rPr>
                <w:rFonts w:ascii="Verdana" w:hAnsi="Verdana" w:cstheme="minorHAnsi"/>
                <w:b/>
                <w:spacing w:val="6"/>
                <w:sz w:val="18"/>
                <w:szCs w:val="18"/>
                <w:lang w:eastAsia="nl-NL"/>
              </w:rPr>
            </w:pPr>
            <w:r w:rsidRPr="005443FA">
              <w:rPr>
                <w:rFonts w:ascii="Verdana" w:hAnsi="Verdana" w:cstheme="minorHAnsi"/>
                <w:b/>
                <w:spacing w:val="6"/>
                <w:sz w:val="18"/>
                <w:szCs w:val="18"/>
                <w:lang w:eastAsia="nl-NL"/>
              </w:rPr>
              <w:t>Melden van incidenten (les 6)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3689C8C5" w14:textId="77777777" w:rsidR="00C714BF" w:rsidRPr="00347BB6" w:rsidRDefault="00C714BF" w:rsidP="006D0A62">
            <w:pPr>
              <w:spacing w:line="276" w:lineRule="auto"/>
              <w:rPr>
                <w:rFonts w:ascii="Verdana" w:hAnsi="Verdana" w:cstheme="minorHAnsi"/>
                <w:spacing w:val="6"/>
                <w:sz w:val="18"/>
                <w:szCs w:val="18"/>
                <w:lang w:eastAsia="nl-NL"/>
              </w:rPr>
            </w:pPr>
            <w:r w:rsidRPr="00347BB6">
              <w:rPr>
                <w:rFonts w:ascii="Verdana" w:hAnsi="Verdana" w:cstheme="minorHAnsi"/>
                <w:spacing w:val="6"/>
                <w:sz w:val="18"/>
                <w:szCs w:val="18"/>
                <w:lang w:eastAsia="nl-NL"/>
              </w:rPr>
              <w:t>Aantal vragen</w:t>
            </w:r>
          </w:p>
        </w:tc>
      </w:tr>
      <w:tr w:rsidR="00C714BF" w:rsidRPr="00773A74" w14:paraId="1BA439FE" w14:textId="77777777" w:rsidTr="005443FA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C76507C" w14:textId="0D57441C" w:rsidR="00617678" w:rsidRPr="00617678" w:rsidRDefault="00617678" w:rsidP="00617678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Verschil tussen een c</w:t>
            </w:r>
            <w:r w:rsidR="00024832" w:rsidRPr="00617678">
              <w:rPr>
                <w:rFonts w:ascii="Verdana" w:hAnsi="Verdana"/>
                <w:spacing w:val="2"/>
                <w:sz w:val="18"/>
              </w:rPr>
              <w:t>omplicatie</w:t>
            </w:r>
            <w:r>
              <w:rPr>
                <w:rFonts w:ascii="Verdana" w:hAnsi="Verdana"/>
                <w:spacing w:val="2"/>
                <w:sz w:val="18"/>
              </w:rPr>
              <w:t>, c</w:t>
            </w:r>
            <w:r w:rsidR="00024832" w:rsidRPr="00617678">
              <w:rPr>
                <w:rFonts w:ascii="Verdana" w:hAnsi="Verdana"/>
                <w:spacing w:val="2"/>
                <w:sz w:val="18"/>
              </w:rPr>
              <w:t>alamiteit</w:t>
            </w:r>
            <w:r>
              <w:rPr>
                <w:rFonts w:ascii="Verdana" w:hAnsi="Verdana"/>
                <w:spacing w:val="2"/>
                <w:sz w:val="18"/>
              </w:rPr>
              <w:t xml:space="preserve"> en i</w:t>
            </w:r>
            <w:r w:rsidR="00024832" w:rsidRPr="00617678">
              <w:rPr>
                <w:rFonts w:ascii="Verdana" w:hAnsi="Verdana"/>
                <w:spacing w:val="2"/>
                <w:sz w:val="18"/>
              </w:rPr>
              <w:t>ncident</w:t>
            </w:r>
            <w:r w:rsidRPr="00617678">
              <w:rPr>
                <w:rFonts w:ascii="Verdana" w:hAnsi="Verdana"/>
                <w:spacing w:val="2"/>
                <w:sz w:val="18"/>
              </w:rPr>
              <w:br/>
              <w:t>Alarmering bij mensen met zintuigelijke problemen zoals doven en slechthorenden, blinden en slechtzienden, analfabeten en laaggeletterden</w:t>
            </w:r>
          </w:p>
          <w:p w14:paraId="71FA72AB" w14:textId="77777777" w:rsidR="00617678" w:rsidRDefault="00617678" w:rsidP="00617678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Alarmering bij mensen met psychische en verstandelijke problemen</w:t>
            </w:r>
          </w:p>
          <w:p w14:paraId="300E1138" w14:textId="77777777" w:rsidR="00617678" w:rsidRDefault="00617678" w:rsidP="00617678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Alarmering bij mensen met lichamelijke problemen</w:t>
            </w:r>
          </w:p>
          <w:p w14:paraId="26B75801" w14:textId="77777777" w:rsidR="00617678" w:rsidRDefault="00617678" w:rsidP="00617678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Melden van calamiteiten aan de inspectie</w:t>
            </w:r>
          </w:p>
          <w:p w14:paraId="62B7DCDA" w14:textId="77777777" w:rsidR="00617678" w:rsidRDefault="00617678" w:rsidP="00617678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Factoren bij reageren van een calamiteit (herkennen, tijd en inzicht)</w:t>
            </w:r>
          </w:p>
          <w:p w14:paraId="1994D0E5" w14:textId="42A083C4" w:rsidR="00024832" w:rsidRPr="00CD38E8" w:rsidRDefault="00617678" w:rsidP="00617678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Reageren bij een calamiteit (waarnemen, interpreteren en handelen)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D1EA4C6" w14:textId="7D1E4250" w:rsidR="00C714BF" w:rsidRPr="00E37C94" w:rsidRDefault="00FE38E8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7</w:t>
            </w:r>
          </w:p>
        </w:tc>
      </w:tr>
      <w:tr w:rsidR="00C714BF" w:rsidRPr="00773A74" w14:paraId="764B1290" w14:textId="77777777" w:rsidTr="005443FA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5EA1EA1F" w14:textId="726681AB" w:rsidR="00C714BF" w:rsidRPr="00724253" w:rsidRDefault="005443FA" w:rsidP="006D0A62">
            <w:pPr>
              <w:rPr>
                <w:rFonts w:ascii="Verdana" w:hAnsi="Verdana"/>
                <w:b/>
                <w:color w:val="FFFFFF" w:themeColor="background1"/>
                <w:spacing w:val="2"/>
                <w:sz w:val="18"/>
              </w:rPr>
            </w:pPr>
            <w:r>
              <w:rPr>
                <w:rFonts w:ascii="Verdana" w:hAnsi="Verdana" w:cstheme="minorHAnsi"/>
                <w:b/>
                <w:spacing w:val="6"/>
                <w:sz w:val="18"/>
                <w:szCs w:val="18"/>
                <w:lang w:eastAsia="nl-NL"/>
              </w:rPr>
              <w:t>Calamiteiten (les 7)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049F8201" w14:textId="77777777" w:rsidR="00C714BF" w:rsidRDefault="00C714BF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</w:p>
        </w:tc>
      </w:tr>
      <w:tr w:rsidR="00C714BF" w:rsidRPr="00773A74" w14:paraId="034B233A" w14:textId="77777777" w:rsidTr="005443FA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047C67F" w14:textId="4747D1C8" w:rsidR="00C714BF" w:rsidRDefault="003D02E1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BHV</w:t>
            </w:r>
          </w:p>
          <w:p w14:paraId="391412FA" w14:textId="048CEC49" w:rsidR="00000290" w:rsidRPr="00617678" w:rsidRDefault="003D02E1" w:rsidP="008164DE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Calamiteiten &amp; een calamiteitenplan</w:t>
            </w:r>
            <w:r w:rsidR="008164DE" w:rsidRPr="00617678">
              <w:rPr>
                <w:rFonts w:ascii="Verdana" w:hAnsi="Verdana"/>
                <w:spacing w:val="2"/>
                <w:sz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228D39E" w14:textId="779CC6C9" w:rsidR="00C714BF" w:rsidRPr="00E37C94" w:rsidRDefault="00FE38E8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7</w:t>
            </w:r>
          </w:p>
        </w:tc>
      </w:tr>
      <w:tr w:rsidR="00C714BF" w:rsidRPr="00773A74" w14:paraId="21F17621" w14:textId="77777777" w:rsidTr="005443FA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255B35B6" w14:textId="6F32B202" w:rsidR="00C714BF" w:rsidRPr="00347BB6" w:rsidRDefault="005443FA" w:rsidP="006D0A62">
            <w:pPr>
              <w:rPr>
                <w:rFonts w:ascii="Verdana" w:hAnsi="Verdana"/>
                <w:b/>
                <w:spacing w:val="2"/>
                <w:sz w:val="18"/>
              </w:rPr>
            </w:pPr>
            <w:r>
              <w:rPr>
                <w:rFonts w:ascii="Verdana" w:hAnsi="Verdana"/>
                <w:b/>
                <w:spacing w:val="2"/>
                <w:sz w:val="18"/>
              </w:rPr>
              <w:t>Brandpreventie (les 8)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3728592A" w14:textId="5540D4B0" w:rsidR="00C714BF" w:rsidRPr="00347BB6" w:rsidRDefault="004D55DB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 xml:space="preserve"> </w:t>
            </w:r>
          </w:p>
        </w:tc>
      </w:tr>
      <w:tr w:rsidR="00C714BF" w:rsidRPr="00773A74" w14:paraId="47168B57" w14:textId="77777777" w:rsidTr="005443FA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A634B2D" w14:textId="5E47DF6E" w:rsidR="00C714BF" w:rsidRDefault="003D02E1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Branddriehoek &amp; brandvijfhoek</w:t>
            </w:r>
          </w:p>
          <w:p w14:paraId="46E43DBF" w14:textId="0C06EF50" w:rsidR="003D02E1" w:rsidRDefault="003D02E1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Brand en blusmiddelen</w:t>
            </w:r>
            <w:r w:rsidR="00FE38E8">
              <w:rPr>
                <w:rFonts w:ascii="Verdana" w:hAnsi="Verdana"/>
                <w:spacing w:val="2"/>
                <w:sz w:val="18"/>
              </w:rPr>
              <w:t xml:space="preserve"> (waaronder brandblussers)</w:t>
            </w:r>
          </w:p>
          <w:p w14:paraId="474D899C" w14:textId="286302D6" w:rsidR="003D02E1" w:rsidRPr="005802D8" w:rsidRDefault="0065452E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Brandklassen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4A4F34D" w14:textId="41548440" w:rsidR="00C714BF" w:rsidRPr="005802D8" w:rsidRDefault="00FE38E8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7</w:t>
            </w:r>
          </w:p>
        </w:tc>
      </w:tr>
      <w:tr w:rsidR="00C714BF" w:rsidRPr="00C714BF" w14:paraId="59806187" w14:textId="77777777" w:rsidTr="005443FA">
        <w:trPr>
          <w:trHeight w:val="270"/>
        </w:trPr>
        <w:tc>
          <w:tcPr>
            <w:tcW w:w="9214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7A113C5" w14:textId="5686DB65" w:rsidR="00C714BF" w:rsidRPr="00C714BF" w:rsidRDefault="00C714BF" w:rsidP="006D0A62">
            <w:pPr>
              <w:rPr>
                <w:rFonts w:ascii="Verdana" w:hAnsi="Verdana" w:cstheme="minorHAnsi"/>
                <w:b/>
                <w:spacing w:val="6"/>
                <w:sz w:val="18"/>
                <w:szCs w:val="18"/>
                <w:lang w:eastAsia="nl-NL"/>
              </w:rPr>
            </w:pPr>
            <w:r w:rsidRPr="00C714BF">
              <w:rPr>
                <w:rFonts w:ascii="Verdana" w:hAnsi="Verdana" w:cstheme="minorHAnsi"/>
                <w:b/>
                <w:spacing w:val="6"/>
                <w:sz w:val="18"/>
                <w:szCs w:val="18"/>
                <w:lang w:eastAsia="nl-NL"/>
              </w:rPr>
              <w:t xml:space="preserve">Totaal aantal multiple </w:t>
            </w:r>
            <w:proofErr w:type="spellStart"/>
            <w:r w:rsidRPr="00C714BF">
              <w:rPr>
                <w:rFonts w:ascii="Verdana" w:hAnsi="Verdana" w:cstheme="minorHAnsi"/>
                <w:b/>
                <w:spacing w:val="6"/>
                <w:sz w:val="18"/>
                <w:szCs w:val="18"/>
                <w:lang w:eastAsia="nl-NL"/>
              </w:rPr>
              <w:t>choice</w:t>
            </w:r>
            <w:proofErr w:type="spellEnd"/>
            <w:r w:rsidRPr="00C714BF">
              <w:rPr>
                <w:rFonts w:ascii="Verdana" w:hAnsi="Verdana" w:cstheme="minorHAnsi"/>
                <w:b/>
                <w:spacing w:val="6"/>
                <w:sz w:val="18"/>
                <w:szCs w:val="18"/>
                <w:lang w:eastAsia="nl-NL"/>
              </w:rPr>
              <w:t xml:space="preserve"> vragen = </w:t>
            </w:r>
            <w:r w:rsidR="005443FA">
              <w:rPr>
                <w:rFonts w:ascii="Verdana" w:hAnsi="Verdana" w:cstheme="minorHAnsi"/>
                <w:b/>
                <w:spacing w:val="6"/>
                <w:sz w:val="18"/>
                <w:szCs w:val="18"/>
                <w:lang w:eastAsia="nl-NL"/>
              </w:rPr>
              <w:t>34</w:t>
            </w:r>
          </w:p>
        </w:tc>
      </w:tr>
    </w:tbl>
    <w:p w14:paraId="2D2A66A3" w14:textId="77777777" w:rsidR="004E0A8E" w:rsidRDefault="007526F2" w:rsidP="00C714BF"/>
    <w:sectPr w:rsidR="004E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20A7"/>
    <w:multiLevelType w:val="hybridMultilevel"/>
    <w:tmpl w:val="4D148074"/>
    <w:lvl w:ilvl="0" w:tplc="4E5C7B16">
      <w:numFmt w:val="bullet"/>
      <w:lvlText w:val="-"/>
      <w:lvlJc w:val="left"/>
      <w:pPr>
        <w:ind w:left="360" w:hanging="360"/>
      </w:pPr>
      <w:rPr>
        <w:rFonts w:ascii="Verdana" w:eastAsia="Calibri" w:hAnsi="Verdan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F55F2F"/>
    <w:multiLevelType w:val="hybridMultilevel"/>
    <w:tmpl w:val="BD0AC4AA"/>
    <w:lvl w:ilvl="0" w:tplc="FA2C06E4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BF"/>
    <w:rsid w:val="00000290"/>
    <w:rsid w:val="00024832"/>
    <w:rsid w:val="001B7983"/>
    <w:rsid w:val="002D786E"/>
    <w:rsid w:val="003D02E1"/>
    <w:rsid w:val="00424B59"/>
    <w:rsid w:val="004D55DB"/>
    <w:rsid w:val="005443FA"/>
    <w:rsid w:val="00617678"/>
    <w:rsid w:val="0065452E"/>
    <w:rsid w:val="00681349"/>
    <w:rsid w:val="00695996"/>
    <w:rsid w:val="006F3D34"/>
    <w:rsid w:val="0071208C"/>
    <w:rsid w:val="007526F2"/>
    <w:rsid w:val="008164DE"/>
    <w:rsid w:val="0085566D"/>
    <w:rsid w:val="009D5EC1"/>
    <w:rsid w:val="009F1730"/>
    <w:rsid w:val="00AB6EDE"/>
    <w:rsid w:val="00AD34C4"/>
    <w:rsid w:val="00AE67D3"/>
    <w:rsid w:val="00B57B6B"/>
    <w:rsid w:val="00C65C23"/>
    <w:rsid w:val="00C714BF"/>
    <w:rsid w:val="00EA58DA"/>
    <w:rsid w:val="00EC026A"/>
    <w:rsid w:val="00F1723D"/>
    <w:rsid w:val="00FC68C0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3BE8"/>
  <w15:chartTrackingRefBased/>
  <w15:docId w15:val="{46CEE93C-8F7A-4ECB-98CC-38285F3B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714BF"/>
    <w:pPr>
      <w:spacing w:after="0" w:line="240" w:lineRule="auto"/>
    </w:pPr>
    <w:rPr>
      <w:rFonts w:ascii="Calibri" w:eastAsia="Times New Roman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C714B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14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C714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F17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F173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F1730"/>
    <w:rPr>
      <w:rFonts w:ascii="Calibri" w:eastAsia="Times New Roman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F17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F1730"/>
    <w:rPr>
      <w:rFonts w:ascii="Calibri" w:eastAsia="Times New Roman" w:hAnsi="Calibri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173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1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08B40FA670D4E96E46D32E863CAF0" ma:contentTypeVersion="9" ma:contentTypeDescription="Create a new document." ma:contentTypeScope="" ma:versionID="e362e92d152441fe252504835dd50c3e">
  <xsd:schema xmlns:xsd="http://www.w3.org/2001/XMLSchema" xmlns:xs="http://www.w3.org/2001/XMLSchema" xmlns:p="http://schemas.microsoft.com/office/2006/metadata/properties" xmlns:ns3="a3e4b78d-b8d3-41f3-ac71-fb2a3cb0ce86" xmlns:ns4="b7a584c5-1276-4e64-b53a-550e777237a6" targetNamespace="http://schemas.microsoft.com/office/2006/metadata/properties" ma:root="true" ma:fieldsID="9e719d644baee5f1626ac651e1162340" ns3:_="" ns4:_="">
    <xsd:import namespace="a3e4b78d-b8d3-41f3-ac71-fb2a3cb0ce86"/>
    <xsd:import namespace="b7a584c5-1276-4e64-b53a-550e777237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4b78d-b8d3-41f3-ac71-fb2a3cb0c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584c5-1276-4e64-b53a-550e77723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A342A-46D7-4A42-9A40-DDC94D386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4b78d-b8d3-41f3-ac71-fb2a3cb0ce86"/>
    <ds:schemaRef ds:uri="b7a584c5-1276-4e64-b53a-550e77723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D501E-F559-416C-BDD7-1014DEFFFFC9}">
  <ds:schemaRefs>
    <ds:schemaRef ds:uri="http://purl.org/dc/terms/"/>
    <ds:schemaRef ds:uri="http://schemas.openxmlformats.org/package/2006/metadata/core-properties"/>
    <ds:schemaRef ds:uri="http://purl.org/dc/dcmitype/"/>
    <ds:schemaRef ds:uri="a3e4b78d-b8d3-41f3-ac71-fb2a3cb0ce86"/>
    <ds:schemaRef ds:uri="http://purl.org/dc/elements/1.1/"/>
    <ds:schemaRef ds:uri="http://schemas.microsoft.com/office/2006/metadata/properties"/>
    <ds:schemaRef ds:uri="http://schemas.microsoft.com/office/2006/documentManagement/types"/>
    <ds:schemaRef ds:uri="b7a584c5-1276-4e64-b53a-550e777237a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264BA7-50FD-4786-8F53-517F1D6E4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Verhoeven</dc:creator>
  <cp:keywords/>
  <dc:description/>
  <cp:lastModifiedBy>Marjolein Knijnenburg</cp:lastModifiedBy>
  <cp:revision>2</cp:revision>
  <dcterms:created xsi:type="dcterms:W3CDTF">2020-07-07T12:53:00Z</dcterms:created>
  <dcterms:modified xsi:type="dcterms:W3CDTF">2020-07-07T12:53:00Z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0x01010096E08B40FA670D4E96E46D32E863CAF0</vt:lpwstr>
  </property>
</Properties>
</file>