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95175" w14:textId="77777777" w:rsidR="00C714BF" w:rsidRPr="00747F3D" w:rsidRDefault="00C714BF" w:rsidP="00C714BF">
      <w:pPr>
        <w:pStyle w:val="Kop1"/>
        <w:spacing w:after="100" w:afterAutospacing="1" w:line="312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color w:val="00B29C"/>
        </w:rPr>
        <w:t>Formatieve toetsing</w:t>
      </w:r>
    </w:p>
    <w:p w14:paraId="6726ECA3" w14:textId="77777777" w:rsidR="00C714BF" w:rsidRPr="00C714BF" w:rsidRDefault="00C714BF" w:rsidP="00C714BF">
      <w:pPr>
        <w:spacing w:after="100" w:afterAutospacing="1" w:line="312" w:lineRule="auto"/>
        <w:rPr>
          <w:rFonts w:ascii="Verdana" w:hAnsi="Verdana"/>
          <w:b/>
          <w:spacing w:val="2"/>
          <w:szCs w:val="20"/>
        </w:rPr>
      </w:pPr>
      <w:r w:rsidRPr="00E72177">
        <w:rPr>
          <w:rFonts w:ascii="Verdana" w:hAnsi="Verdana"/>
          <w:b/>
          <w:spacing w:val="2"/>
          <w:szCs w:val="20"/>
        </w:rPr>
        <w:t>TOETSMATRIJS BASISBEGRIPPEN COMMUNICATIE</w:t>
      </w:r>
      <w:r w:rsidRPr="00724253">
        <w:rPr>
          <w:rFonts w:ascii="Verdana" w:hAnsi="Verdana"/>
          <w:b/>
          <w:spacing w:val="2"/>
          <w:szCs w:val="20"/>
        </w:rPr>
        <w:t xml:space="preserve"> </w:t>
      </w:r>
      <w:r>
        <w:rPr>
          <w:rFonts w:ascii="Verdana" w:hAnsi="Verdana"/>
          <w:b/>
          <w:spacing w:val="2"/>
          <w:szCs w:val="20"/>
        </w:rPr>
        <w:br/>
      </w:r>
      <w:r>
        <w:rPr>
          <w:rFonts w:ascii="Verdana" w:hAnsi="Verdana"/>
          <w:spacing w:val="2"/>
          <w:sz w:val="18"/>
        </w:rPr>
        <w:t>Cohort 2018</w:t>
      </w:r>
      <w:r w:rsidRPr="000861CB">
        <w:rPr>
          <w:rFonts w:ascii="Verdana" w:hAnsi="Verdana"/>
          <w:spacing w:val="2"/>
          <w:sz w:val="20"/>
        </w:rPr>
        <w:tab/>
      </w:r>
      <w:r w:rsidRPr="000861CB">
        <w:rPr>
          <w:rFonts w:ascii="Verdana" w:hAnsi="Verdana"/>
          <w:spacing w:val="2"/>
          <w:sz w:val="20"/>
        </w:rPr>
        <w:tab/>
      </w:r>
    </w:p>
    <w:p w14:paraId="5B512213" w14:textId="77777777" w:rsidR="00C714BF" w:rsidRPr="00E13FD4" w:rsidRDefault="00C714BF" w:rsidP="00C714BF">
      <w:pPr>
        <w:spacing w:line="312" w:lineRule="auto"/>
        <w:rPr>
          <w:rFonts w:ascii="Verdana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Dit is de </w:t>
      </w:r>
      <w:proofErr w:type="spellStart"/>
      <w:r w:rsidRPr="00A35535">
        <w:rPr>
          <w:rFonts w:ascii="Verdana" w:hAnsi="Verdana" w:cstheme="minorHAnsi"/>
          <w:i/>
          <w:spacing w:val="6"/>
          <w:sz w:val="18"/>
          <w:szCs w:val="18"/>
          <w:lang w:eastAsia="nl-NL"/>
        </w:rPr>
        <w:t>toetsmatrijs</w:t>
      </w:r>
      <w:proofErr w:type="spellEnd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 voor </w:t>
      </w:r>
      <w:r w:rsidRPr="00A35535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communicatie basisbegrippen</w:t>
      </w:r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. Een </w:t>
      </w:r>
      <w:proofErr w:type="spellStart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>toetsmatrijs</w:t>
      </w:r>
      <w:proofErr w:type="spellEnd"/>
      <w:r w:rsidRPr="00E13FD4">
        <w:rPr>
          <w:rFonts w:ascii="Verdana" w:hAnsi="Verdana" w:cstheme="minorHAnsi"/>
          <w:spacing w:val="6"/>
          <w:sz w:val="18"/>
          <w:szCs w:val="18"/>
          <w:lang w:eastAsia="nl-NL"/>
        </w:rPr>
        <w:t xml:space="preserve"> is het overzicht van de onderwerpen waarover vragen gesteld worden en hoeveel vragen dat per onderwerp zijn.</w:t>
      </w:r>
    </w:p>
    <w:p w14:paraId="52950C37" w14:textId="77777777" w:rsidR="00C714BF" w:rsidRPr="00E13FD4" w:rsidRDefault="00C714BF" w:rsidP="00C714BF">
      <w:pPr>
        <w:spacing w:line="312" w:lineRule="auto"/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Leermiddelen:</w:t>
      </w:r>
    </w:p>
    <w:p w14:paraId="6B18EED1" w14:textId="3204EE54" w:rsidR="00C714BF" w:rsidRPr="00E13FD4" w:rsidRDefault="00681349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 xml:space="preserve">Zie It’s </w:t>
      </w:r>
      <w:proofErr w:type="spellStart"/>
      <w:r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learning</w:t>
      </w:r>
      <w:proofErr w:type="spellEnd"/>
      <w:r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 xml:space="preserve"> voor de leermiddelen die bij jouw opleiding horen.</w:t>
      </w:r>
    </w:p>
    <w:p w14:paraId="368EB9E5" w14:textId="77777777" w:rsidR="00C714BF" w:rsidRPr="00E13FD4" w:rsidRDefault="00C714BF" w:rsidP="00C714BF">
      <w:pPr>
        <w:spacing w:line="312" w:lineRule="auto"/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</w:pPr>
      <w:r w:rsidRPr="00E13FD4">
        <w:rPr>
          <w:rFonts w:ascii="Verdana" w:hAnsi="Verdana" w:cstheme="minorHAnsi"/>
          <w:spacing w:val="6"/>
          <w:sz w:val="18"/>
          <w:szCs w:val="18"/>
          <w:u w:val="single"/>
          <w:lang w:eastAsia="nl-NL"/>
        </w:rPr>
        <w:t>Beoordeling:</w:t>
      </w:r>
    </w:p>
    <w:p w14:paraId="1C7E444F" w14:textId="77777777" w:rsidR="00C714BF" w:rsidRPr="00E13FD4" w:rsidRDefault="00C714BF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De toets bestaat uit 40 vragen. Je kunt 40 punten scoren.</w:t>
      </w:r>
    </w:p>
    <w:p w14:paraId="330F546E" w14:textId="77777777" w:rsidR="00C714BF" w:rsidRPr="00E13FD4" w:rsidRDefault="00C714BF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</w:pPr>
      <w:r w:rsidRPr="00E13FD4"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>De grens voor een voldoende is 60%, dus 24 punten</w:t>
      </w:r>
    </w:p>
    <w:p w14:paraId="6E26CF9B" w14:textId="77777777" w:rsidR="00C714BF" w:rsidRPr="001A253F" w:rsidRDefault="00C714BF" w:rsidP="00C714BF">
      <w:pPr>
        <w:pStyle w:val="Lijstalinea"/>
        <w:numPr>
          <w:ilvl w:val="0"/>
          <w:numId w:val="1"/>
        </w:numPr>
        <w:spacing w:after="0" w:line="312" w:lineRule="auto"/>
        <w:rPr>
          <w:rFonts w:ascii="Verdana" w:hAnsi="Verdana" w:cstheme="minorHAnsi"/>
          <w:i/>
          <w:color w:val="5B9BD5" w:themeColor="accent1"/>
          <w:spacing w:val="6"/>
          <w:sz w:val="16"/>
          <w:szCs w:val="18"/>
          <w:lang w:eastAsia="nl-NL"/>
        </w:rPr>
      </w:pPr>
      <w:r w:rsidRPr="00AF2596">
        <w:rPr>
          <w:rFonts w:ascii="Verdana" w:eastAsia="Times New Roman" w:hAnsi="Verdana" w:cstheme="minorHAnsi"/>
          <w:spacing w:val="6"/>
          <w:sz w:val="18"/>
          <w:szCs w:val="18"/>
          <w:lang w:eastAsia="nl-NL"/>
        </w:rPr>
        <w:t xml:space="preserve">De grens voor een goed is 80%, dus 32 punten </w:t>
      </w:r>
    </w:p>
    <w:p w14:paraId="61F770BB" w14:textId="77777777" w:rsidR="00C714BF" w:rsidRPr="001A253F" w:rsidRDefault="00C714BF" w:rsidP="00C714BF">
      <w:pPr>
        <w:spacing w:line="312" w:lineRule="auto"/>
        <w:rPr>
          <w:rFonts w:asciiTheme="minorHAnsi" w:hAnsiTheme="minorHAnsi" w:cstheme="minorHAnsi"/>
          <w:spacing w:val="6"/>
          <w:lang w:eastAsia="nl-NL"/>
        </w:rPr>
      </w:pPr>
      <w:r w:rsidRPr="001A253F">
        <w:rPr>
          <w:rFonts w:asciiTheme="minorHAnsi" w:hAnsiTheme="minorHAnsi" w:cstheme="minorHAnsi"/>
          <w:b/>
          <w:spacing w:val="6"/>
          <w:lang w:eastAsia="nl-NL"/>
        </w:rPr>
        <w:t>Let op!</w:t>
      </w:r>
      <w:r>
        <w:rPr>
          <w:rFonts w:asciiTheme="minorHAnsi" w:hAnsiTheme="minorHAnsi" w:cstheme="minorHAnsi"/>
          <w:b/>
          <w:spacing w:val="6"/>
          <w:lang w:eastAsia="nl-NL"/>
        </w:rPr>
        <w:t xml:space="preserve"> </w:t>
      </w:r>
      <w:r w:rsidRPr="00E0734D">
        <w:rPr>
          <w:rFonts w:asciiTheme="minorHAnsi" w:hAnsiTheme="minorHAnsi" w:cstheme="minorHAnsi"/>
          <w:b/>
          <w:spacing w:val="6"/>
          <w:lang w:eastAsia="nl-NL"/>
        </w:rPr>
        <w:t xml:space="preserve">Het resultaat van de toets is alleen geldig wanneer deze is afgenomen op een officieel </w:t>
      </w:r>
      <w:proofErr w:type="spellStart"/>
      <w:r w:rsidRPr="00E0734D">
        <w:rPr>
          <w:rFonts w:asciiTheme="minorHAnsi" w:hAnsiTheme="minorHAnsi" w:cstheme="minorHAnsi"/>
          <w:b/>
          <w:spacing w:val="6"/>
          <w:lang w:eastAsia="nl-NL"/>
        </w:rPr>
        <w:t>toetsmoment</w:t>
      </w:r>
      <w:proofErr w:type="spellEnd"/>
      <w:r w:rsidRPr="00E0734D">
        <w:rPr>
          <w:rFonts w:asciiTheme="minorHAnsi" w:hAnsiTheme="minorHAnsi" w:cstheme="minorHAnsi"/>
          <w:b/>
          <w:spacing w:val="6"/>
          <w:lang w:eastAsia="nl-NL"/>
        </w:rPr>
        <w:t xml:space="preserve">, onder begeleiding van een docent. </w:t>
      </w:r>
    </w:p>
    <w:tbl>
      <w:tblPr>
        <w:tblW w:w="9214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134"/>
      </w:tblGrid>
      <w:tr w:rsidR="00C714BF" w:rsidRPr="00773A74" w14:paraId="5EE803CF" w14:textId="77777777" w:rsidTr="006D0A62">
        <w:trPr>
          <w:trHeight w:val="375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6CACA6D9" w14:textId="77777777" w:rsidR="00C714BF" w:rsidRPr="00347BB6" w:rsidRDefault="00C714BF" w:rsidP="006D0A62">
            <w:pPr>
              <w:spacing w:line="312" w:lineRule="auto"/>
              <w:rPr>
                <w:rFonts w:ascii="Verdana" w:hAnsi="Verdana" w:cstheme="minorHAnsi"/>
                <w:spacing w:val="6"/>
                <w:sz w:val="18"/>
                <w:szCs w:val="18"/>
                <w:lang w:eastAsia="nl-NL"/>
              </w:rPr>
            </w:pPr>
            <w:r w:rsidRPr="00347BB6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>Aspecten van communicatie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3689C8C5" w14:textId="77777777" w:rsidR="00C714BF" w:rsidRPr="00347BB6" w:rsidRDefault="00C714BF" w:rsidP="006D0A62">
            <w:pPr>
              <w:spacing w:line="276" w:lineRule="auto"/>
              <w:rPr>
                <w:rFonts w:ascii="Verdana" w:hAnsi="Verdana" w:cstheme="minorHAnsi"/>
                <w:spacing w:val="6"/>
                <w:sz w:val="18"/>
                <w:szCs w:val="18"/>
                <w:lang w:eastAsia="nl-NL"/>
              </w:rPr>
            </w:pPr>
            <w:r w:rsidRPr="00347BB6">
              <w:rPr>
                <w:rFonts w:ascii="Verdana" w:hAnsi="Verdana" w:cstheme="minorHAnsi"/>
                <w:spacing w:val="6"/>
                <w:sz w:val="18"/>
                <w:szCs w:val="18"/>
                <w:lang w:eastAsia="nl-NL"/>
              </w:rPr>
              <w:t>Aantal vragen</w:t>
            </w:r>
          </w:p>
        </w:tc>
      </w:tr>
      <w:tr w:rsidR="00C714BF" w:rsidRPr="00773A74" w14:paraId="52E796E6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5E6F8AA" w14:textId="77777777" w:rsidR="00C714BF" w:rsidRPr="00773A74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2"/>
                <w:sz w:val="18"/>
              </w:rPr>
              <w:t>Communicatie en interactie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8DE4AC8" w14:textId="77777777" w:rsidR="00C714BF" w:rsidRPr="00CD38E8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 w:rsidRPr="00E37C94"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1BA439FE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994D0E5" w14:textId="77777777" w:rsidR="00C714BF" w:rsidRPr="00CD38E8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CD38E8">
              <w:rPr>
                <w:rFonts w:ascii="Verdana" w:hAnsi="Verdana"/>
                <w:spacing w:val="2"/>
                <w:sz w:val="18"/>
              </w:rPr>
              <w:t>Zender, boodschap, ontvanger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D1EA4C6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0657C588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65174B5" w14:textId="77777777" w:rsidR="00C714BF" w:rsidRPr="003D6910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3D6910">
              <w:rPr>
                <w:rFonts w:ascii="Verdana" w:hAnsi="Verdana"/>
                <w:spacing w:val="2"/>
                <w:sz w:val="18"/>
              </w:rPr>
              <w:t>Feedback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DF6F667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06AA0BDA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041AC79" w14:textId="77777777" w:rsidR="00C714BF" w:rsidRPr="003D6910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Communicatierichtingen (eenzijdig en tweezijdig)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2829565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714BF" w:rsidRPr="00773A74" w14:paraId="0B501F68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4955A99" w14:textId="77777777" w:rsidR="00C714BF" w:rsidRPr="003D6910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3D6910">
              <w:rPr>
                <w:rFonts w:ascii="Verdana" w:hAnsi="Verdana"/>
                <w:spacing w:val="2"/>
                <w:sz w:val="18"/>
              </w:rPr>
              <w:t>Verbale communicatie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0C18676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4AF54613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BD197A6" w14:textId="77777777" w:rsidR="00C714BF" w:rsidRPr="001D26D3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Interpretatiefouten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2B37DFD" w14:textId="77777777" w:rsidR="00C714BF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1</w:t>
            </w:r>
          </w:p>
        </w:tc>
      </w:tr>
      <w:tr w:rsidR="00C714BF" w:rsidRPr="00773A74" w14:paraId="14EEFFE3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E8E27B6" w14:textId="77777777" w:rsidR="00C714BF" w:rsidRPr="003D6910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3D6910">
              <w:rPr>
                <w:rFonts w:ascii="Verdana" w:hAnsi="Verdana"/>
                <w:spacing w:val="2"/>
                <w:sz w:val="18"/>
              </w:rPr>
              <w:t>Non-verbale communicatie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E963EAA" w14:textId="77777777" w:rsidR="00C714BF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4</w:t>
            </w:r>
          </w:p>
        </w:tc>
      </w:tr>
      <w:tr w:rsidR="00C714BF" w:rsidRPr="00773A74" w14:paraId="4FD2EEFC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FDB7252" w14:textId="77777777" w:rsidR="00C714BF" w:rsidRPr="003D6910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Lichaamstaal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0BD78E0" w14:textId="77777777" w:rsidR="00C714BF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7FA7ACED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A270991" w14:textId="77777777" w:rsidR="00C714BF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Inhoudelijk en relationeel aspect van communicatie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6A6FF93" w14:textId="77777777" w:rsidR="00C714BF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764B1290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5EA1EA1F" w14:textId="77777777" w:rsidR="00C714BF" w:rsidRPr="00724253" w:rsidRDefault="00C714BF" w:rsidP="006D0A62">
            <w:pPr>
              <w:rPr>
                <w:rFonts w:ascii="Verdana" w:hAnsi="Verdana"/>
                <w:b/>
                <w:color w:val="FFFFFF" w:themeColor="background1"/>
                <w:spacing w:val="2"/>
                <w:sz w:val="18"/>
              </w:rPr>
            </w:pPr>
            <w:r w:rsidRPr="00347BB6">
              <w:rPr>
                <w:rFonts w:ascii="Verdana" w:hAnsi="Verdana"/>
                <w:b/>
                <w:spacing w:val="2"/>
                <w:sz w:val="18"/>
              </w:rPr>
              <w:t>Communicatieproblemen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049F8201" w14:textId="77777777" w:rsidR="00C714BF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</w:p>
        </w:tc>
      </w:tr>
      <w:tr w:rsidR="00C714BF" w:rsidRPr="00773A74" w14:paraId="034B233A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91412FA" w14:textId="77777777" w:rsidR="00C714BF" w:rsidRPr="005802D8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5802D8">
              <w:rPr>
                <w:rFonts w:ascii="Verdana" w:hAnsi="Verdana"/>
                <w:spacing w:val="2"/>
                <w:sz w:val="18"/>
              </w:rPr>
              <w:t>Referentiekader</w:t>
            </w:r>
            <w:r>
              <w:rPr>
                <w:rFonts w:ascii="Verdana" w:hAnsi="Verdana"/>
                <w:spacing w:val="2"/>
                <w:sz w:val="18"/>
              </w:rPr>
              <w:t xml:space="preserve"> (referentiekader en relatieniveau en cultuurverschillen)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228D39E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3639D410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4931ED7" w14:textId="77777777" w:rsidR="00C714BF" w:rsidRPr="005802D8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5802D8">
              <w:rPr>
                <w:rFonts w:ascii="Verdana" w:hAnsi="Verdana"/>
                <w:spacing w:val="2"/>
                <w:sz w:val="18"/>
              </w:rPr>
              <w:t>Coderen en/of decoderen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B1315D8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714BF" w:rsidRPr="00773A74" w14:paraId="005343F4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389466C" w14:textId="77777777" w:rsidR="00C714BF" w:rsidRPr="005802D8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5802D8">
              <w:rPr>
                <w:rFonts w:ascii="Verdana" w:hAnsi="Verdana"/>
                <w:spacing w:val="2"/>
                <w:sz w:val="18"/>
              </w:rPr>
              <w:t>Communicatiestoornissen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45F8A8F" w14:textId="77777777" w:rsidR="00C714BF" w:rsidRPr="005802D8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2A67F484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5629D5E" w14:textId="77777777" w:rsidR="00C714BF" w:rsidRPr="005802D8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 w:rsidRPr="005802D8">
              <w:rPr>
                <w:rFonts w:ascii="Verdana" w:hAnsi="Verdana"/>
                <w:spacing w:val="2"/>
                <w:sz w:val="18"/>
              </w:rPr>
              <w:t>Ruis</w:t>
            </w:r>
            <w:r>
              <w:rPr>
                <w:rFonts w:ascii="Verdana" w:hAnsi="Verdana"/>
                <w:spacing w:val="2"/>
                <w:sz w:val="18"/>
              </w:rPr>
              <w:t xml:space="preserve"> (interne en externe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33BDBB2" w14:textId="77777777" w:rsidR="00C714BF" w:rsidRPr="005802D8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77CA4237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11C4878" w14:textId="77777777" w:rsidR="00C714BF" w:rsidRPr="005802D8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Effectieve communicatie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51528C7" w14:textId="77777777" w:rsidR="00C714BF" w:rsidRPr="005802D8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3</w:t>
            </w:r>
          </w:p>
        </w:tc>
      </w:tr>
      <w:tr w:rsidR="00C714BF" w:rsidRPr="00773A74" w14:paraId="21F17621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255B35B6" w14:textId="77777777" w:rsidR="00C714BF" w:rsidRPr="00347BB6" w:rsidRDefault="00C714BF" w:rsidP="006D0A62">
            <w:pPr>
              <w:rPr>
                <w:rFonts w:ascii="Verdana" w:hAnsi="Verdana"/>
                <w:b/>
                <w:spacing w:val="2"/>
                <w:sz w:val="18"/>
              </w:rPr>
            </w:pPr>
            <w:r w:rsidRPr="00347BB6">
              <w:rPr>
                <w:rFonts w:ascii="Verdana" w:hAnsi="Verdana"/>
                <w:b/>
                <w:spacing w:val="2"/>
                <w:sz w:val="18"/>
              </w:rPr>
              <w:t>Interculturele communicatie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CDECF7"/>
            <w:vAlign w:val="center"/>
          </w:tcPr>
          <w:p w14:paraId="3728592A" w14:textId="77777777" w:rsidR="00C714BF" w:rsidRPr="00347BB6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</w:p>
        </w:tc>
      </w:tr>
      <w:tr w:rsidR="00C714BF" w:rsidRPr="00773A74" w14:paraId="47168B57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74D899C" w14:textId="77777777" w:rsidR="00C714BF" w:rsidRPr="005802D8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Diversiteit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4A4F34D" w14:textId="77777777" w:rsidR="00C714BF" w:rsidRPr="005802D8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0F4D7C81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6EC758D" w14:textId="77777777" w:rsidR="00C714BF" w:rsidRPr="004E3F4E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 xml:space="preserve">Taalproblemen door </w:t>
            </w:r>
            <w:proofErr w:type="spellStart"/>
            <w:r>
              <w:rPr>
                <w:rFonts w:ascii="Verdana" w:hAnsi="Verdana"/>
                <w:spacing w:val="2"/>
                <w:sz w:val="18"/>
              </w:rPr>
              <w:t>anderstaligheid</w:t>
            </w:r>
            <w:proofErr w:type="spellEnd"/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866801B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17D775B0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AAE1B89" w14:textId="77777777" w:rsidR="00C714BF" w:rsidRPr="004E3F4E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Cultuurverschillen tussen mensen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46312DC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773A74" w14:paraId="36362E75" w14:textId="77777777" w:rsidTr="006D0A62">
        <w:trPr>
          <w:trHeight w:val="358"/>
        </w:trPr>
        <w:tc>
          <w:tcPr>
            <w:tcW w:w="80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FCAACD7" w14:textId="77777777" w:rsidR="00C714BF" w:rsidRPr="004E3F4E" w:rsidRDefault="00C714BF" w:rsidP="00C714B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Aandachtpunten voor communicatie met mensen uit een andere cultuur</w:t>
            </w:r>
          </w:p>
        </w:tc>
        <w:tc>
          <w:tcPr>
            <w:tcW w:w="11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D558E05" w14:textId="77777777" w:rsidR="00C714BF" w:rsidRPr="00E37C94" w:rsidRDefault="00C714BF" w:rsidP="006D0A62">
            <w:pPr>
              <w:jc w:val="center"/>
              <w:rPr>
                <w:rFonts w:ascii="Verdana" w:hAnsi="Verdana"/>
                <w:spacing w:val="2"/>
                <w:sz w:val="18"/>
              </w:rPr>
            </w:pPr>
            <w:r>
              <w:rPr>
                <w:rFonts w:ascii="Verdana" w:hAnsi="Verdana"/>
                <w:spacing w:val="2"/>
                <w:sz w:val="18"/>
              </w:rPr>
              <w:t>2</w:t>
            </w:r>
          </w:p>
        </w:tc>
      </w:tr>
      <w:tr w:rsidR="00C714BF" w:rsidRPr="00C714BF" w14:paraId="59806187" w14:textId="77777777" w:rsidTr="006D0A62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7A113C5" w14:textId="77777777" w:rsidR="00C714BF" w:rsidRPr="00C714BF" w:rsidRDefault="00C714BF" w:rsidP="006D0A62">
            <w:pPr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</w:pPr>
            <w:r w:rsidRPr="00C714BF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 xml:space="preserve">Totaal aantal multiple </w:t>
            </w:r>
            <w:proofErr w:type="spellStart"/>
            <w:r w:rsidRPr="00C714BF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>choice</w:t>
            </w:r>
            <w:proofErr w:type="spellEnd"/>
            <w:r w:rsidRPr="00C714BF">
              <w:rPr>
                <w:rFonts w:ascii="Verdana" w:hAnsi="Verdana" w:cstheme="minorHAnsi"/>
                <w:b/>
                <w:spacing w:val="6"/>
                <w:sz w:val="18"/>
                <w:szCs w:val="18"/>
                <w:lang w:eastAsia="nl-NL"/>
              </w:rPr>
              <w:t xml:space="preserve"> vragen = 40</w:t>
            </w:r>
          </w:p>
        </w:tc>
      </w:tr>
    </w:tbl>
    <w:p w14:paraId="2D2A66A3" w14:textId="77777777" w:rsidR="004E0A8E" w:rsidRDefault="002107B2" w:rsidP="00C714BF"/>
    <w:sectPr w:rsidR="004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20A7"/>
    <w:multiLevelType w:val="hybridMultilevel"/>
    <w:tmpl w:val="4D148074"/>
    <w:lvl w:ilvl="0" w:tplc="4E5C7B16">
      <w:numFmt w:val="bullet"/>
      <w:lvlText w:val="-"/>
      <w:lvlJc w:val="left"/>
      <w:pPr>
        <w:ind w:left="36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55F2F"/>
    <w:multiLevelType w:val="hybridMultilevel"/>
    <w:tmpl w:val="BD0AC4AA"/>
    <w:lvl w:ilvl="0" w:tplc="FA2C06E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F"/>
    <w:rsid w:val="002107B2"/>
    <w:rsid w:val="00424B59"/>
    <w:rsid w:val="00681349"/>
    <w:rsid w:val="00C714BF"/>
    <w:rsid w:val="00F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3BE8"/>
  <w15:chartTrackingRefBased/>
  <w15:docId w15:val="{46CEE93C-8F7A-4ECB-98CC-38285F3B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14BF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714B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1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714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Verhoeven</dc:creator>
  <cp:keywords/>
  <dc:description/>
  <cp:lastModifiedBy>Kirsten van den Berg</cp:lastModifiedBy>
  <cp:revision>2</cp:revision>
  <dcterms:created xsi:type="dcterms:W3CDTF">2019-06-14T07:21:00Z</dcterms:created>
  <dcterms:modified xsi:type="dcterms:W3CDTF">2019-06-14T07:21:00Z</dcterms:modified>
</cp:coreProperties>
</file>